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2E532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876C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Статья: Среднее предпринимательство</w:t>
            </w:r>
            <w:r>
              <w:rPr>
                <w:sz w:val="48"/>
                <w:szCs w:val="48"/>
              </w:rPr>
              <w:br/>
              <w:t>(Подготовлен для системы КонсультантПлюс, 2023)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876C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12.05.2023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876C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876C5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76C5">
            <w:pPr>
              <w:pStyle w:val="ConsPlusNormal"/>
              <w:jc w:val="both"/>
              <w:outlineLvl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76C5">
            <w:pPr>
              <w:pStyle w:val="ConsPlusNormal"/>
              <w:jc w:val="both"/>
              <w:outlineLvl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876C5">
            <w:pPr>
              <w:pStyle w:val="ConsPlusNormal"/>
              <w:jc w:val="right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Актуально на 13.04.2023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76C5">
            <w:pPr>
              <w:pStyle w:val="ConsPlusNormal"/>
              <w:jc w:val="right"/>
              <w:rPr>
                <w:color w:val="392C69"/>
              </w:rPr>
            </w:pPr>
          </w:p>
        </w:tc>
      </w:tr>
    </w:tbl>
    <w:p w:rsidR="00000000" w:rsidRDefault="00E876C5">
      <w:pPr>
        <w:pStyle w:val="ConsPlusTitle"/>
        <w:spacing w:before="300"/>
        <w:jc w:val="center"/>
      </w:pPr>
      <w:r>
        <w:t>СРЕДНЕЕ ПРЕДПРИНИМАТЕЛЬСТВО</w:t>
      </w:r>
    </w:p>
    <w:p w:rsidR="00000000" w:rsidRDefault="00E876C5">
      <w:pPr>
        <w:pStyle w:val="ConsPlusNormal"/>
        <w:jc w:val="both"/>
      </w:pPr>
    </w:p>
    <w:p w:rsidR="00000000" w:rsidRDefault="00E876C5">
      <w:pPr>
        <w:pStyle w:val="ConsPlusNormal"/>
        <w:ind w:firstLine="540"/>
        <w:jc w:val="both"/>
      </w:pPr>
      <w:r>
        <w:t>Развитие субъектов среднего предпринимательства и обеспечение их конкурентоспособности относятся к числу основных целей государственной политики в области развития предпринимательства в России (</w:t>
      </w:r>
      <w:hyperlink r:id="rId9" w:history="1">
        <w:r>
          <w:rPr>
            <w:color w:val="0000FF"/>
          </w:rPr>
          <w:t>п. 2 ст. 6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 о развитии предпринимательства)). Для этого на законодательном уро</w:t>
      </w:r>
      <w:r>
        <w:t>вне определены критерии отнесения юридических лиц и индивидуальных предпринимателей к числу субъектов среднего бизнеса и предусмотрены меры поддержки таких лиц.</w:t>
      </w:r>
    </w:p>
    <w:p w:rsidR="00000000" w:rsidRDefault="00E876C5">
      <w:pPr>
        <w:pStyle w:val="ConsPlusNormal"/>
        <w:jc w:val="both"/>
      </w:pPr>
    </w:p>
    <w:p w:rsidR="00000000" w:rsidRDefault="00E876C5">
      <w:pPr>
        <w:pStyle w:val="ConsPlusTitle"/>
        <w:jc w:val="center"/>
        <w:outlineLvl w:val="0"/>
      </w:pPr>
      <w:r>
        <w:t>Понятие среднего предпринимательства</w:t>
      </w:r>
    </w:p>
    <w:p w:rsidR="00000000" w:rsidRDefault="00E876C5">
      <w:pPr>
        <w:pStyle w:val="ConsPlusNormal"/>
        <w:jc w:val="both"/>
      </w:pPr>
    </w:p>
    <w:p w:rsidR="00000000" w:rsidRDefault="00E876C5">
      <w:pPr>
        <w:pStyle w:val="ConsPlusNormal"/>
        <w:ind w:firstLine="540"/>
        <w:jc w:val="both"/>
      </w:pPr>
      <w:r>
        <w:t>Под субъектами среднего предпринимательства (далее - ССП</w:t>
      </w:r>
      <w:r>
        <w:t>) понимаются хозяйствующие субъекты (хозяйственные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предприниматели), соответств</w:t>
      </w:r>
      <w:r>
        <w:t>ующие законодательно установленным критериям отнесения к ССП и включенные в единый реестр субъектов малого и среднего предпринимательства (</w:t>
      </w:r>
      <w:hyperlink r:id="rId10" w:history="1">
        <w:r>
          <w:rPr>
            <w:color w:val="0000FF"/>
          </w:rPr>
          <w:t>п. 1 ст. 3</w:t>
        </w:r>
      </w:hyperlink>
      <w:r>
        <w:t xml:space="preserve">, </w:t>
      </w:r>
      <w:hyperlink r:id="rId11" w:history="1">
        <w:r>
          <w:rPr>
            <w:color w:val="0000FF"/>
          </w:rPr>
          <w:t>ч. 1 ст. 4</w:t>
        </w:r>
      </w:hyperlink>
      <w:r>
        <w:t xml:space="preserve">, </w:t>
      </w:r>
      <w:hyperlink r:id="rId12" w:history="1">
        <w:r>
          <w:rPr>
            <w:color w:val="0000FF"/>
          </w:rPr>
          <w:t>ч. 1</w:t>
        </w:r>
      </w:hyperlink>
      <w:r>
        <w:t xml:space="preserve">, </w:t>
      </w:r>
      <w:hyperlink r:id="rId13" w:history="1">
        <w:r>
          <w:rPr>
            <w:color w:val="0000FF"/>
          </w:rPr>
          <w:t>2 ст. 4.1</w:t>
        </w:r>
      </w:hyperlink>
      <w:r>
        <w:t xml:space="preserve"> Закона о развитии предпринимательства).</w:t>
      </w:r>
    </w:p>
    <w:p w:rsidR="00000000" w:rsidRDefault="00E876C5">
      <w:pPr>
        <w:pStyle w:val="ConsPlusNormal"/>
        <w:jc w:val="both"/>
      </w:pPr>
    </w:p>
    <w:p w:rsidR="00000000" w:rsidRDefault="00E876C5">
      <w:pPr>
        <w:pStyle w:val="ConsPlusTitle"/>
        <w:jc w:val="center"/>
        <w:outlineLvl w:val="0"/>
      </w:pPr>
      <w:r>
        <w:t>Критерии отнесения к субъектам среднего предпринимательства</w:t>
      </w:r>
    </w:p>
    <w:p w:rsidR="00000000" w:rsidRDefault="00E876C5">
      <w:pPr>
        <w:pStyle w:val="ConsPlusNormal"/>
        <w:jc w:val="both"/>
      </w:pPr>
    </w:p>
    <w:p w:rsidR="00000000" w:rsidRDefault="00E876C5">
      <w:pPr>
        <w:pStyle w:val="ConsPlusNormal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ч. 1.1 ст. 4</w:t>
        </w:r>
      </w:hyperlink>
      <w:r>
        <w:t xml:space="preserve"> Закона о развитии предпринимательства в целях отнесения к ССП должны выполняться следующие условия: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1) для хозяйственных обществ, хозяйственных партнерств и хозяйственных товариществ должно бы</w:t>
      </w:r>
      <w:r>
        <w:t>ть выполнено хотя бы одно из следующих требований: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а) участники хозяйственного общества либо хозяйственного товарищества - Российская Федерация, субъекты РФ,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</w:t>
      </w:r>
      <w:r>
        <w:t>ов) владеют суммарно не более чем 25% долей в уставном капитале общества с ограниченной ответственностью либо складочном капитале хозяйственного товарищества или не более чем 25% голосующих акций акционерного общества, а участники хозяйственного общества л</w:t>
      </w:r>
      <w:r>
        <w:t>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предпринимательства, владеют суммарно не более чем 49% долей в уставном капитале общества с ограниченной ответственностью ли</w:t>
      </w:r>
      <w:r>
        <w:t>бо складочном капитале хозяйственного товарищества или не более чем 49% голосующих акций акционерного общества.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Ограничение в отношении суммарной доли участия общественных объединений инвалидов, иностранных юридических лиц и (или) юридических лиц, не являю</w:t>
      </w:r>
      <w:r>
        <w:t xml:space="preserve">щихся субъектами малого и среднего предпринимательства, не распространяется на участников хозяйственных обществ - иностранных юридических лиц, у которых доход, полученный от осуществления </w:t>
      </w:r>
      <w:r>
        <w:lastRenderedPageBreak/>
        <w:t xml:space="preserve">предпринимательской деятельности за предшествующий календарный год, </w:t>
      </w:r>
      <w:r>
        <w:t xml:space="preserve">не превышает предельного значения, установленного Правительством РФ для средних предприятий в соответствии с </w:t>
      </w:r>
      <w:hyperlink r:id="rId15" w:history="1">
        <w:r>
          <w:rPr>
            <w:color w:val="0000FF"/>
          </w:rPr>
          <w:t>п. 3 ч. 1.1 ст. 4</w:t>
        </w:r>
      </w:hyperlink>
      <w:r>
        <w:t xml:space="preserve"> Закона о развитии предп</w:t>
      </w:r>
      <w:r>
        <w:t xml:space="preserve">ринимательства, и среднесписочная численность работников которых за предшествующий календарный год не превышает предельного значения, указанного в </w:t>
      </w:r>
      <w:hyperlink r:id="rId16" w:history="1">
        <w:r>
          <w:rPr>
            <w:color w:val="0000FF"/>
          </w:rPr>
          <w:t>пп. "б</w:t>
        </w:r>
        <w:r>
          <w:rPr>
            <w:color w:val="0000FF"/>
          </w:rPr>
          <w:t>" п. 2 ч. 1.1 ст. 4</w:t>
        </w:r>
      </w:hyperlink>
      <w:r>
        <w:t xml:space="preserve"> Закона о развитии предпринимательства 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17" w:history="1">
        <w:r>
          <w:rPr>
            <w:color w:val="0000FF"/>
          </w:rPr>
          <w:t>пп. 1 п. 3 ст. 284</w:t>
        </w:r>
      </w:hyperlink>
      <w:r>
        <w:t xml:space="preserve"> НК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</w:t>
      </w:r>
      <w:r>
        <w:t xml:space="preserve">пераций (офшорные зоны); а также на хозяйственные общества, соответствующие условиям, указанным в </w:t>
      </w:r>
      <w:hyperlink r:id="rId18" w:history="1">
        <w:r>
          <w:rPr>
            <w:color w:val="0000FF"/>
          </w:rPr>
          <w:t>пп. "б"</w:t>
        </w:r>
      </w:hyperlink>
      <w:r>
        <w:t xml:space="preserve"> - </w:t>
      </w:r>
      <w:hyperlink r:id="rId19" w:history="1">
        <w:r>
          <w:rPr>
            <w:color w:val="0000FF"/>
          </w:rPr>
          <w:t>"д"</w:t>
        </w:r>
      </w:hyperlink>
      <w:r>
        <w:t xml:space="preserve">, </w:t>
      </w:r>
      <w:hyperlink r:id="rId20" w:history="1">
        <w:r>
          <w:rPr>
            <w:color w:val="0000FF"/>
          </w:rPr>
          <w:t>"ж"</w:t>
        </w:r>
      </w:hyperlink>
      <w:r>
        <w:t>;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б) акции акционерного общества, обращающиеся на организованном рынке ц</w:t>
      </w:r>
      <w:r>
        <w:t>енных бумаг, отнесены к акциям высокотехнологичного (инновационного) сектора экономики в порядке, установленном Правительством РФ;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в) деятельность хозяйственных обществ, хозяйственных партнерств заключается в практическом применении (внедрении) результатов</w:t>
      </w:r>
      <w:r>
        <w:t xml:space="preserve">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(ноу-хау)), исключительные пра</w:t>
      </w:r>
      <w:r>
        <w:t>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являющимися бюджетными учреждениями, автономными учреждениями образовательным организац</w:t>
      </w:r>
      <w:r>
        <w:t>иям высшего образования;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 xml:space="preserve">г) хозяйственные общества, хозяйственные партнерства получили статус участника проекта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28.09.2010 N 244</w:t>
      </w:r>
      <w:r>
        <w:t>-ФЗ "Об инновационном центре "Сколково";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д) учредителями (участниками) хозяйственных обществ, хозяйственных партнерств являются юридические лица, включенные в утвержденный Правительством РФ перечень юридических лиц, предоставляющих государственную поддержк</w:t>
      </w:r>
      <w:r>
        <w:t xml:space="preserve">у инновационной деятельности в формах,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23.08.1996 N 127-ФЗ "О науке и государственной научно-технической политике";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 xml:space="preserve">ж) участниками </w:t>
      </w:r>
      <w:r>
        <w:t>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</w:t>
      </w:r>
      <w:r>
        <w:t>чная численность инвалидов по отношению к другим работникам составляет не менее чем 50%, а доля оплаты труда инвалидов в фонде оплаты труда - не менее чем 25%;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2) среднесписочная численность работников за предшествующий календарный год хозяйственных общест</w:t>
      </w:r>
      <w:r>
        <w:t>в, хозяйственных товариществ, хозяйственных партнерств, соответствующих одному из вышеуказанных требований, производственных кооперативов, потребительских кооперативов, крестьянских (фермерских) хозяйств, индивидуальных предпринимателей составляет от 101 д</w:t>
      </w:r>
      <w:r>
        <w:t xml:space="preserve">о 250 человек </w:t>
      </w:r>
      <w:r>
        <w:rPr>
          <w:b/>
          <w:bCs/>
        </w:rPr>
        <w:t xml:space="preserve">(если иное предельное значение среднесписочной численности работников для средних предприятий не установлено в соответствии с </w:t>
      </w:r>
      <w:hyperlink r:id="rId23" w:history="1">
        <w:r>
          <w:rPr>
            <w:b/>
            <w:bCs/>
            <w:color w:val="0000FF"/>
          </w:rPr>
          <w:t>п. 2.1</w:t>
        </w:r>
      </w:hyperlink>
      <w:r>
        <w:rPr>
          <w:b/>
          <w:bCs/>
        </w:rPr>
        <w:t xml:space="preserve"> или </w:t>
      </w:r>
      <w:hyperlink r:id="rId24" w:history="1">
        <w:r>
          <w:rPr>
            <w:b/>
            <w:bCs/>
            <w:color w:val="0000FF"/>
          </w:rPr>
          <w:t>п. 2.2 ч. 1.1 ст. 4</w:t>
        </w:r>
      </w:hyperlink>
      <w:r>
        <w:rPr>
          <w:b/>
          <w:bCs/>
        </w:rPr>
        <w:t xml:space="preserve"> Закона о развитии предпринимательства)</w:t>
      </w:r>
      <w:r>
        <w:t>;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lastRenderedPageBreak/>
        <w:t xml:space="preserve">3) доход хозяйственных обществ, хозяйственных товариществ, хозяйственных партнерств, </w:t>
      </w:r>
      <w:r>
        <w:t>соответствующих одному из вышеуказанных требований,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</w:t>
      </w:r>
      <w:r>
        <w:t>ующий календарный год, который суммируется по всем осуществляемым видам деятельности и применяется по всем налоговым режимам, не должен превышать 2 млрд рублей (</w:t>
      </w:r>
      <w:hyperlink r:id="rId25" w:history="1">
        <w:r>
          <w:rPr>
            <w:color w:val="0000FF"/>
          </w:rPr>
          <w:t>п. 1</w:t>
        </w:r>
      </w:hyperlink>
      <w:r>
        <w:t xml:space="preserve"> Постановления Правительства РФ от 04.04.2016 N 265 "О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предпринимательства").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Особенности отнесен</w:t>
      </w:r>
      <w:r>
        <w:t xml:space="preserve">ия ряда субъектов хозяйственной деятельности к ССП устанавливаются </w:t>
      </w:r>
      <w:hyperlink r:id="rId26" w:history="1">
        <w:r>
          <w:rPr>
            <w:color w:val="0000FF"/>
          </w:rPr>
          <w:t>ч. 3</w:t>
        </w:r>
      </w:hyperlink>
      <w:r>
        <w:t xml:space="preserve">, </w:t>
      </w:r>
      <w:hyperlink r:id="rId27" w:history="1">
        <w:r>
          <w:rPr>
            <w:color w:val="0000FF"/>
          </w:rPr>
          <w:t>4.1 ст. 4</w:t>
        </w:r>
      </w:hyperlink>
      <w:r>
        <w:t xml:space="preserve"> Закона о развитии предпринимательства.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Стоит учитывать, что начиная с 10.08.2017 принудительное включение юридического лица (индивидуального предпринимателя) в Единый реестр субъектов малого и среднего предприниматель</w:t>
      </w:r>
      <w:r>
        <w:t>ства, исключение из него и изменение категории субъекту малого и среднего предпринимательства (в случае неверного отражения в указанном реестре) будет осуществляться только по согласованию с Федеральной налоговой службой с использованием соответствующего п</w:t>
      </w:r>
      <w:r>
        <w:t>рограммного обеспечения.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Кроме того, Федеральная налоговая служба указывает на недопустимость подтверждения территориальными налоговыми органами ФНС России принадлежности юридического лица (индивидуального предпринимателя) к субъекту малого и среднего пред</w:t>
      </w:r>
      <w:r>
        <w:t>принимательства при отсутствии сведений о соответствующем юридическом лице (индивидуальном предпринимателе) в Едином реестре субъектов малого и среднего предпринимательства.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Подтверждение принадлежности юридического лица (индивидуального предпринимателя) к</w:t>
      </w:r>
      <w:r>
        <w:t xml:space="preserve"> субъекту малого и среднего предпринимательства осуществляется заинтересованным лицом при обращении к Единому реестру субъектов малого и среднего предпринимательства (</w:t>
      </w:r>
      <w:hyperlink r:id="rId28" w:history="1">
        <w:r>
          <w:rPr>
            <w:color w:val="0000FF"/>
          </w:rPr>
          <w:t>Пись</w:t>
        </w:r>
        <w:r>
          <w:rPr>
            <w:color w:val="0000FF"/>
          </w:rPr>
          <w:t>мо</w:t>
        </w:r>
      </w:hyperlink>
      <w:r>
        <w:t xml:space="preserve"> ФНС России от 08.08.2017 N ГД-4-14/15554@ &lt;О Едином реестре субъектов малого и среднего предпринимательства&gt;).</w:t>
      </w:r>
    </w:p>
    <w:p w:rsidR="00000000" w:rsidRDefault="00E876C5">
      <w:pPr>
        <w:pStyle w:val="ConsPlusNormal"/>
        <w:jc w:val="both"/>
      </w:pPr>
    </w:p>
    <w:p w:rsidR="00000000" w:rsidRDefault="00E876C5">
      <w:pPr>
        <w:pStyle w:val="ConsPlusTitle"/>
        <w:jc w:val="center"/>
        <w:outlineLvl w:val="0"/>
      </w:pPr>
      <w:r>
        <w:t>Меры государственной поддержки субъектов</w:t>
      </w:r>
    </w:p>
    <w:p w:rsidR="00000000" w:rsidRDefault="00E876C5">
      <w:pPr>
        <w:pStyle w:val="ConsPlusTitle"/>
        <w:jc w:val="center"/>
      </w:pPr>
      <w:r>
        <w:t>среднего предпринимательства</w:t>
      </w:r>
    </w:p>
    <w:p w:rsidR="00000000" w:rsidRDefault="00E876C5">
      <w:pPr>
        <w:pStyle w:val="ConsPlusNormal"/>
        <w:jc w:val="both"/>
      </w:pPr>
    </w:p>
    <w:p w:rsidR="00000000" w:rsidRDefault="00E876C5">
      <w:pPr>
        <w:pStyle w:val="ConsPlusNormal"/>
        <w:ind w:firstLine="540"/>
        <w:jc w:val="both"/>
      </w:pPr>
      <w:r>
        <w:t>Законодательством предусматриваются следующие меры поддержки средне</w:t>
      </w:r>
      <w:r>
        <w:t>го предпринимательства: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 xml:space="preserve">1) </w:t>
      </w:r>
      <w:r>
        <w:rPr>
          <w:b/>
          <w:bCs/>
        </w:rPr>
        <w:t>упрощенные способы ведения бухгалтерского учета, включая упрощенную бухгалтерскую (финансовую) отчетность (</w:t>
      </w:r>
      <w:hyperlink r:id="rId29" w:history="1">
        <w:r>
          <w:rPr>
            <w:b/>
            <w:bCs/>
            <w:color w:val="0000FF"/>
          </w:rPr>
          <w:t>п. 2 ст. 7</w:t>
        </w:r>
      </w:hyperlink>
      <w:r>
        <w:rPr>
          <w:b/>
          <w:bCs/>
        </w:rPr>
        <w:t xml:space="preserve"> За</w:t>
      </w:r>
      <w:r>
        <w:rPr>
          <w:b/>
          <w:bCs/>
        </w:rPr>
        <w:t>кона о развитии предпринимательства).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 xml:space="preserve">Руководитель ССП, за исключением субъектов, указанных в </w:t>
      </w:r>
      <w:hyperlink r:id="rId30" w:history="1">
        <w:r>
          <w:rPr>
            <w:color w:val="0000FF"/>
          </w:rPr>
          <w:t>ст. 7</w:t>
        </w:r>
      </w:hyperlink>
      <w:r>
        <w:t xml:space="preserve"> Федерального закона от 06.12.2011 N 402-ФЗ "О б</w:t>
      </w:r>
      <w:r>
        <w:t>ухгалтерском учете" (далее - Закон о бухгалтерском учете), может принять ведение бухгалтерского учета на себя (</w:t>
      </w:r>
      <w:hyperlink r:id="rId31" w:history="1">
        <w:r>
          <w:rPr>
            <w:color w:val="0000FF"/>
          </w:rPr>
          <w:t>ч. 3 ст. 7</w:t>
        </w:r>
      </w:hyperlink>
      <w:r>
        <w:t xml:space="preserve"> Закона о бухгалтерском учете)</w:t>
      </w:r>
      <w:r>
        <w:t>.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ССП вправе применять упрощенные способы ведения бухгалтерского учета (</w:t>
      </w:r>
      <w:hyperlink r:id="rId32" w:history="1">
        <w:r>
          <w:rPr>
            <w:color w:val="0000FF"/>
          </w:rPr>
          <w:t>ст. 6</w:t>
        </w:r>
      </w:hyperlink>
      <w:r>
        <w:t xml:space="preserve"> Закона о бухгалтерском учете). Вместе с тем круг таких субъектов огра</w:t>
      </w:r>
      <w:r>
        <w:t xml:space="preserve">ничен. Упрощенные способы </w:t>
      </w:r>
      <w:r>
        <w:lastRenderedPageBreak/>
        <w:t>ведения бухгалтерского учета могут применяться только потребительскими кооперативами, не являющимися кредитными потребительскими кооперативами (включая сельскохозяйственные кредитные потребительские кооперативы) (</w:t>
      </w:r>
      <w:hyperlink r:id="rId33" w:history="1">
        <w:r>
          <w:rPr>
            <w:color w:val="0000FF"/>
          </w:rPr>
          <w:t>п. 2 ч. 4</w:t>
        </w:r>
      </w:hyperlink>
      <w:r>
        <w:t xml:space="preserve">, </w:t>
      </w:r>
      <w:hyperlink r:id="rId34" w:history="1">
        <w:r>
          <w:rPr>
            <w:color w:val="0000FF"/>
          </w:rPr>
          <w:t>п. 3 ч. 5 ст. 6</w:t>
        </w:r>
      </w:hyperlink>
      <w:r>
        <w:t xml:space="preserve"> Закона о бухгалтерском учете), а так</w:t>
      </w:r>
      <w:r>
        <w:t xml:space="preserve">же организациями, получившими статус участников проекта по осуществлению исследований, разработок и коммерциализации их результатов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28.09.2010 N 244-ФЗ "Об инновационном центре "Сколково" (</w:t>
      </w:r>
      <w:hyperlink r:id="rId36" w:history="1">
        <w:r>
          <w:rPr>
            <w:color w:val="0000FF"/>
          </w:rPr>
          <w:t>п. 3 ч. 4 ст. 6</w:t>
        </w:r>
      </w:hyperlink>
      <w:r>
        <w:t xml:space="preserve"> Закона о бухгалтерском учете);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 xml:space="preserve">2) </w:t>
      </w:r>
      <w:r>
        <w:rPr>
          <w:b/>
          <w:bCs/>
        </w:rPr>
        <w:t>упрощенный порядок составления субъе</w:t>
      </w:r>
      <w:r>
        <w:rPr>
          <w:b/>
          <w:bCs/>
        </w:rPr>
        <w:t>ктами среднего предпринимательства статистической отчетности (</w:t>
      </w:r>
      <w:hyperlink r:id="rId37" w:history="1">
        <w:r>
          <w:rPr>
            <w:b/>
            <w:bCs/>
            <w:color w:val="0000FF"/>
          </w:rPr>
          <w:t>п. 3 ст. 7</w:t>
        </w:r>
      </w:hyperlink>
      <w:r>
        <w:rPr>
          <w:b/>
          <w:bCs/>
        </w:rPr>
        <w:t xml:space="preserve"> Закона о развитии предпринимательства).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Статистическая отчетность предоста</w:t>
      </w:r>
      <w:r>
        <w:t>вляется субъектами среднего предпринимательства в следующем порядке: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- все ССП обязаны предоставлять статистическую отчетность один раз в пять лет при проведении сплошных статистических наблюдений (</w:t>
      </w:r>
      <w:hyperlink r:id="rId38" w:history="1">
        <w:r>
          <w:rPr>
            <w:color w:val="0000FF"/>
          </w:rPr>
          <w:t>ч. 1</w:t>
        </w:r>
      </w:hyperlink>
      <w:r>
        <w:t xml:space="preserve">, </w:t>
      </w:r>
      <w:hyperlink r:id="rId39" w:history="1">
        <w:r>
          <w:rPr>
            <w:color w:val="0000FF"/>
          </w:rPr>
          <w:t>2 ст. 5</w:t>
        </w:r>
      </w:hyperlink>
      <w:r>
        <w:t xml:space="preserve"> Закона о развитии предпринимательства). Последний сбор первичных статистических да</w:t>
      </w:r>
      <w:r>
        <w:t>нных по программе сплошного наблюдения осуществлялся в 2021 г. за 2020 г. (</w:t>
      </w:r>
      <w:hyperlink r:id="rId40" w:history="1">
        <w:r>
          <w:rPr>
            <w:color w:val="0000FF"/>
          </w:rPr>
          <w:t>п. 3</w:t>
        </w:r>
      </w:hyperlink>
      <w:r>
        <w:t xml:space="preserve"> Основных методологических и организационных положений по сплошному </w:t>
      </w:r>
      <w:r>
        <w:t>федеральному статистическому наблюдению за деятельностью субъектов малого и среднего предпринимательства за 2020 год, утв. Приказом Росстата от 28.08.2020 N 496), следующий сбор данных должен быть проведен в 2026 г. за 2025 г.;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- ежегодно Росстатом составл</w:t>
      </w:r>
      <w:r>
        <w:t>яются перечни ССП, подлежащих выборочному статистическому наблюдению (</w:t>
      </w:r>
      <w:hyperlink r:id="rId41" w:history="1">
        <w:r>
          <w:rPr>
            <w:color w:val="0000FF"/>
          </w:rPr>
          <w:t>ч. 3 ст. 5</w:t>
        </w:r>
      </w:hyperlink>
      <w:r>
        <w:t xml:space="preserve"> Закона о развитии предпринимательства, </w:t>
      </w:r>
      <w:hyperlink r:id="rId42" w:history="1">
        <w:r>
          <w:rPr>
            <w:color w:val="0000FF"/>
          </w:rPr>
          <w:t>п. 2</w:t>
        </w:r>
      </w:hyperlink>
      <w:r>
        <w:t xml:space="preserve"> Правил проведения выборочных статистических наблюдений за деятельностью субъектов малого и среднего предпринимательства, утв. Постановлением Правительства РФ от 16.02.20</w:t>
      </w:r>
      <w:r>
        <w:t>08 N 79 (далее - Правила проведения выборочных наблюдений)). ССП, включенные в указанный перечень, представляют сведения по формам федерального статистического наблюдения (</w:t>
      </w:r>
      <w:hyperlink r:id="rId43" w:history="1">
        <w:r>
          <w:rPr>
            <w:color w:val="0000FF"/>
          </w:rPr>
          <w:t>п. 2</w:t>
        </w:r>
      </w:hyperlink>
      <w:r>
        <w:t xml:space="preserve"> Правил проведения выборочных наблюдений). Периодичность сдачи отчетности: ежемесячно, ежеквартально, по итогам года, - зависит от формы отчетности (</w:t>
      </w:r>
      <w:hyperlink r:id="rId44" w:history="1">
        <w:r>
          <w:rPr>
            <w:color w:val="0000FF"/>
          </w:rPr>
          <w:t>п. п. 5</w:t>
        </w:r>
      </w:hyperlink>
      <w:r>
        <w:t xml:space="preserve">, </w:t>
      </w:r>
      <w:hyperlink r:id="rId45" w:history="1">
        <w:r>
          <w:rPr>
            <w:color w:val="0000FF"/>
          </w:rPr>
          <w:t>7</w:t>
        </w:r>
      </w:hyperlink>
      <w:r>
        <w:t xml:space="preserve"> Правил проведения выборочных наблюдений). Росстат, в свою очередь, уведомляет субъекты малого и среднего </w:t>
      </w:r>
      <w:r>
        <w:t>предпринимательства о проведении в отношении их деятельности выборочного статистического наблюдения с использованием средств факсимильной связи, электронной почты или иных средств связи, позволяющих зафиксировать факт соответствующего уведомления.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В настоящее время в целях реализации прав организаций на доступ к информации о деятельности Росстата и его территориальных органов сведения о включении ССП в выборку и формах отчетности размещаются на официальном сайте территориального органа Росстата в ра</w:t>
      </w:r>
      <w:r>
        <w:t>зделе "Отчетность - Статистическая отчетность - Список отчитывающихся хозяйствующих субъектов". Интернет-порталы территориальных органов Росстата имеют единообразное наполнение - одинаковый состав разделов (подразделов) (</w:t>
      </w:r>
      <w:hyperlink r:id="rId46" w:history="1">
        <w:r>
          <w:rPr>
            <w:color w:val="0000FF"/>
          </w:rPr>
          <w:t>п. 5.3</w:t>
        </w:r>
      </w:hyperlink>
      <w:r>
        <w:t xml:space="preserve"> Регламента информационного наполнения официального сайта Федеральной службы государственной статистики в информационно-телекоммуникационной сети "Интернет", утв. Приказом Росс</w:t>
      </w:r>
      <w:r>
        <w:t>тата от 10.10.2019 N 587);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 xml:space="preserve">3) </w:t>
      </w:r>
      <w:r>
        <w:rPr>
          <w:b/>
          <w:bCs/>
        </w:rPr>
        <w:t>льготный порядок расчетов за приватизированное государственное и муниципальное имущество (</w:t>
      </w:r>
      <w:hyperlink r:id="rId47" w:history="1">
        <w:r>
          <w:rPr>
            <w:b/>
            <w:bCs/>
            <w:color w:val="0000FF"/>
          </w:rPr>
          <w:t>п. 4 ст. 7</w:t>
        </w:r>
      </w:hyperlink>
      <w:r>
        <w:rPr>
          <w:b/>
          <w:bCs/>
        </w:rPr>
        <w:t xml:space="preserve"> Закона о развити</w:t>
      </w:r>
      <w:r>
        <w:rPr>
          <w:b/>
          <w:bCs/>
        </w:rPr>
        <w:t>и предпринимательства).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lastRenderedPageBreak/>
        <w:t>При возмездном отчуждении арендуемого имущества из государственной или муниципальной собственности ССП пользуются преимущественным правом на приобретение такого имущества по цене, равной его рыночной стоимости и определенной независ</w:t>
      </w:r>
      <w:r>
        <w:t>имым оценщиком (</w:t>
      </w:r>
      <w:hyperlink r:id="rId48" w:history="1">
        <w:r>
          <w:rPr>
            <w:color w:val="0000FF"/>
          </w:rPr>
          <w:t>ст. 3</w:t>
        </w:r>
      </w:hyperlink>
      <w:r>
        <w:t xml:space="preserve"> Федерального закона от 22.07.2008 N 159-ФЗ "Об особенностях отчуждения движимого и недвижимого имущества, находящегося в госу</w:t>
      </w:r>
      <w:r>
        <w:t>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Закон об отчуждении движимого и недвижимого имущества)). Оп</w:t>
      </w:r>
      <w:r>
        <w:t>лата арендуемого имущества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устанавливается соответственно нормативным правовым актом Правительства РФ, зак</w:t>
      </w:r>
      <w:r>
        <w:t>оном субъекта РФ, муниципальным правовым актом, но не должен составлять менее 5 лет для недвижимого имущества и менее 3 лет для движимого имущества (</w:t>
      </w:r>
      <w:hyperlink r:id="rId49" w:history="1">
        <w:r>
          <w:rPr>
            <w:color w:val="0000FF"/>
          </w:rPr>
          <w:t>п</w:t>
        </w:r>
        <w:r>
          <w:rPr>
            <w:color w:val="0000FF"/>
          </w:rPr>
          <w:t>. 1 ст. 5</w:t>
        </w:r>
      </w:hyperlink>
      <w:r>
        <w:t xml:space="preserve"> Закона об отчуждении движимого и недвижимого имущества);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 xml:space="preserve">4) </w:t>
      </w:r>
      <w:r>
        <w:rPr>
          <w:b/>
          <w:bCs/>
        </w:rPr>
        <w:t>особенности участия в закупках товаров, работ, услуг отдельными видами юридических лиц (</w:t>
      </w:r>
      <w:hyperlink r:id="rId50" w:history="1">
        <w:r>
          <w:rPr>
            <w:b/>
            <w:bCs/>
            <w:color w:val="0000FF"/>
          </w:rPr>
          <w:t>п. 5 ст. 7</w:t>
        </w:r>
      </w:hyperlink>
      <w:r>
        <w:rPr>
          <w:b/>
          <w:bCs/>
        </w:rPr>
        <w:t xml:space="preserve"> Закона о развитии предпринимательства).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Законодательством устанавливается годовой объем закупок товаров, работ, услуг отдельными видами юрид</w:t>
      </w:r>
      <w:r>
        <w:t>ических лиц у субъектов малого и среднего предпринимательства от совокупного годового стоимостного объема договоров, заключенных заказчиками по результатам закупок (</w:t>
      </w:r>
      <w:hyperlink r:id="rId51" w:history="1">
        <w:r>
          <w:rPr>
            <w:color w:val="0000FF"/>
          </w:rPr>
          <w:t>п. 5</w:t>
        </w:r>
      </w:hyperlink>
      <w:r>
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объема", утв. Постановлен</w:t>
      </w:r>
      <w:r>
        <w:t>ием Правительства РФ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 (далее - Положение об участии в закупках)). Для этих целей предусматривае</w:t>
      </w:r>
      <w:r>
        <w:t>тся возможность проведения закупок, участниками которых являются только субъекты малого и среднего предпринимательства, а также те, в отношении которых заказчиком устанавливается требование о привлечении к исполнению договора субподрядчиков (соисполнителей</w:t>
      </w:r>
      <w:r>
        <w:t>) из числа субъектов малого и среднего предпринимательства (</w:t>
      </w:r>
      <w:hyperlink r:id="rId52" w:history="1">
        <w:r>
          <w:rPr>
            <w:color w:val="0000FF"/>
          </w:rPr>
          <w:t>п. 4</w:t>
        </w:r>
      </w:hyperlink>
      <w:r>
        <w:t xml:space="preserve"> Положения об участии в закупках);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 xml:space="preserve">5) </w:t>
      </w:r>
      <w:r>
        <w:rPr>
          <w:b/>
          <w:bCs/>
        </w:rPr>
        <w:t xml:space="preserve">меры по обеспечению финансовой поддержки ССП </w:t>
      </w:r>
      <w:r>
        <w:rPr>
          <w:b/>
          <w:bCs/>
        </w:rPr>
        <w:t>(</w:t>
      </w:r>
      <w:hyperlink r:id="rId53" w:history="1">
        <w:r>
          <w:rPr>
            <w:b/>
            <w:bCs/>
            <w:color w:val="0000FF"/>
          </w:rPr>
          <w:t>п. 7 ст. 7</w:t>
        </w:r>
      </w:hyperlink>
      <w:r>
        <w:rPr>
          <w:b/>
          <w:bCs/>
        </w:rPr>
        <w:t xml:space="preserve"> Закона о развитии предпринимательства).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54" w:history="1">
        <w:r>
          <w:rPr>
            <w:color w:val="0000FF"/>
          </w:rPr>
          <w:t>ст. 17</w:t>
        </w:r>
      </w:hyperlink>
      <w:r>
        <w:t xml:space="preserve"> Закона о развитии предпринимательства оказание финансовой поддержки ССП может осуществляться за счет средств бюджетов субъектов РФ, средств местных бюджетов путем предоставления субсидий (</w:t>
      </w:r>
      <w:hyperlink r:id="rId55" w:history="1">
        <w:r>
          <w:rPr>
            <w:color w:val="0000FF"/>
          </w:rPr>
          <w:t>ст. 78</w:t>
        </w:r>
      </w:hyperlink>
      <w:r>
        <w:t xml:space="preserve"> БК РФ), бюджетных инвестиций (</w:t>
      </w:r>
      <w:hyperlink r:id="rId56" w:history="1">
        <w:r>
          <w:rPr>
            <w:color w:val="0000FF"/>
          </w:rPr>
          <w:t>ст. 80</w:t>
        </w:r>
      </w:hyperlink>
      <w:r>
        <w:t xml:space="preserve"> БК РФ), государственных (муниципальн</w:t>
      </w:r>
      <w:r>
        <w:t>ых) гарантий (</w:t>
      </w:r>
      <w:hyperlink r:id="rId57" w:history="1">
        <w:r>
          <w:rPr>
            <w:color w:val="0000FF"/>
          </w:rPr>
          <w:t>ст. 115</w:t>
        </w:r>
      </w:hyperlink>
      <w:r>
        <w:t xml:space="preserve"> БК РФ);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 xml:space="preserve">6) </w:t>
      </w:r>
      <w:r>
        <w:rPr>
          <w:b/>
          <w:bCs/>
        </w:rPr>
        <w:t>меры по развитию инфраструктуры поддержки субъектов ССП (</w:t>
      </w:r>
      <w:hyperlink r:id="rId58" w:history="1">
        <w:r>
          <w:rPr>
            <w:b/>
            <w:bCs/>
            <w:color w:val="0000FF"/>
          </w:rPr>
          <w:t>п. 8 ст. 7</w:t>
        </w:r>
      </w:hyperlink>
      <w:r>
        <w:rPr>
          <w:b/>
          <w:bCs/>
        </w:rPr>
        <w:t xml:space="preserve"> Закона о развитии предпринимательства).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Инфраструктура поддержки ССП включает в себя центры и агентства по развитию предпринимательства, государственные и муниципальные фонды поддержки предприним</w:t>
      </w:r>
      <w:r>
        <w:t>ательства, региональные гарантийные организации,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 и др. (</w:t>
      </w:r>
      <w:hyperlink r:id="rId59" w:history="1">
        <w:r>
          <w:rPr>
            <w:color w:val="0000FF"/>
          </w:rPr>
          <w:t>ч. 2 ст. 15</w:t>
        </w:r>
      </w:hyperlink>
      <w:r>
        <w:t xml:space="preserve"> Закона о развитии </w:t>
      </w:r>
      <w:r>
        <w:lastRenderedPageBreak/>
        <w:t>предпринимательства). Среди указанных лиц важное место занимают региональные гарантийные организации, создаваемые в субъектах РФ в целях обеспечения доступа ССП</w:t>
      </w:r>
      <w:r>
        <w:t xml:space="preserve"> к кредитным и иным финансовым ресурсам. Основная функция таких фондов - предоставление ССП поручительств и независимых гарантий (</w:t>
      </w:r>
      <w:hyperlink r:id="rId60" w:history="1">
        <w:r>
          <w:rPr>
            <w:color w:val="0000FF"/>
          </w:rPr>
          <w:t>ст. 15.2</w:t>
        </w:r>
      </w:hyperlink>
      <w:r>
        <w:t xml:space="preserve"> Закона о раз</w:t>
      </w:r>
      <w:r>
        <w:t>витии предпринимательства);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 xml:space="preserve">7) </w:t>
      </w:r>
      <w:r>
        <w:rPr>
          <w:b/>
          <w:bCs/>
        </w:rPr>
        <w:t>имущественная поддержка ССП (</w:t>
      </w:r>
      <w:hyperlink r:id="rId61" w:history="1">
        <w:r>
          <w:rPr>
            <w:b/>
            <w:bCs/>
            <w:color w:val="0000FF"/>
          </w:rPr>
          <w:t>ст. 18</w:t>
        </w:r>
      </w:hyperlink>
      <w:r>
        <w:rPr>
          <w:b/>
          <w:bCs/>
        </w:rPr>
        <w:t xml:space="preserve"> Закона о развитии предпринимательства).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Имущественная поддержка оказывается в ви</w:t>
      </w:r>
      <w:r>
        <w:t>де передачи во владение и (или) в пользование государственного или муниципального имущества (</w:t>
      </w:r>
      <w:hyperlink r:id="rId62" w:history="1">
        <w:r>
          <w:rPr>
            <w:color w:val="0000FF"/>
          </w:rPr>
          <w:t>ст. 18</w:t>
        </w:r>
      </w:hyperlink>
      <w:r>
        <w:t xml:space="preserve"> Закона о развитии предпринимательства). Условия</w:t>
      </w:r>
      <w:r>
        <w:t xml:space="preserve"> и порядок предоставления имущественной поддержки определяются в соответствии с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21.08.2010 N 645 "Об имущественной поддержке субъекто</w:t>
      </w:r>
      <w:r>
        <w:t>в малого и среднего предпринимательства при предоставлении федерального имущества";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 xml:space="preserve">8) </w:t>
      </w:r>
      <w:r>
        <w:rPr>
          <w:b/>
          <w:bCs/>
        </w:rPr>
        <w:t>специальные налоговые режимы (</w:t>
      </w:r>
      <w:hyperlink r:id="rId64" w:history="1">
        <w:r>
          <w:rPr>
            <w:b/>
            <w:bCs/>
            <w:color w:val="0000FF"/>
          </w:rPr>
          <w:t>п. 1 ст. 7</w:t>
        </w:r>
      </w:hyperlink>
      <w:r>
        <w:rPr>
          <w:b/>
          <w:bCs/>
        </w:rPr>
        <w:t xml:space="preserve"> Закона о развитии п</w:t>
      </w:r>
      <w:r>
        <w:rPr>
          <w:b/>
          <w:bCs/>
        </w:rPr>
        <w:t>редпринимательства).</w:t>
      </w:r>
    </w:p>
    <w:p w:rsidR="00000000" w:rsidRDefault="00E876C5">
      <w:pPr>
        <w:pStyle w:val="ConsPlusNormal"/>
        <w:spacing w:before="240"/>
        <w:ind w:firstLine="540"/>
        <w:jc w:val="both"/>
      </w:pPr>
      <w:hyperlink r:id="rId65" w:history="1">
        <w:r>
          <w:rPr>
            <w:color w:val="0000FF"/>
          </w:rPr>
          <w:t>Законом</w:t>
        </w:r>
      </w:hyperlink>
      <w:r>
        <w:t xml:space="preserve"> о развитии предпринимательства специальные налоговые режимы отнесены к числу мер поддержки субъектов малого и среднего предпринимательства.</w:t>
      </w:r>
      <w:r>
        <w:t xml:space="preserve"> В то же время налоговое законодательство прямо не определяет, какие специальные налоговые режимы могут применяться указанными субъектами. </w:t>
      </w:r>
      <w:hyperlink r:id="rId66" w:history="1">
        <w:r>
          <w:rPr>
            <w:color w:val="0000FF"/>
          </w:rPr>
          <w:t>НК</w:t>
        </w:r>
      </w:hyperlink>
      <w:r>
        <w:t xml:space="preserve"> РФ устанавливаются собстве</w:t>
      </w:r>
      <w:r>
        <w:t>нные требования, при соблюдении которых налогоплательщик вправе перейти на специальный налоговый режим.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Анализ этих требований и сопоставление их с критериями отнесения к ССП позволяет заключить, что ни один специальный налоговый режим не может рассматрива</w:t>
      </w:r>
      <w:r>
        <w:t>ться в качестве меры поддержки исключительно ССП.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Из числа специальных налоговых режимов ССП может применяться система налогообложения для сельскохозяйственных товаропроизводителей. Однако переход к этой системе возможен независимо от средней численности р</w:t>
      </w:r>
      <w:r>
        <w:t>аботников, выручки от реализации товаров и т.п., т.е. не обусловлен наличием у лица статуса ССП (</w:t>
      </w:r>
      <w:hyperlink r:id="rId67" w:history="1">
        <w:r>
          <w:rPr>
            <w:color w:val="0000FF"/>
          </w:rPr>
          <w:t>ст. 346.2</w:t>
        </w:r>
      </w:hyperlink>
      <w:r>
        <w:t xml:space="preserve"> НК РФ).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Налоговое законодательство формаль</w:t>
      </w:r>
      <w:r>
        <w:t>но не исключает возможность перехода ССП на упрощенную систему налогообложения. Однако с учетом требований, предъявляемых к налогоплательщикам, это едва ли реализуемо на практике: средняя численность работников за налоговый (отчетный) период должна составл</w:t>
      </w:r>
      <w:r>
        <w:t>ять 100, в противном случае будет либо утрачен статус СПП (</w:t>
      </w:r>
      <w:hyperlink r:id="rId68" w:history="1">
        <w:r>
          <w:rPr>
            <w:color w:val="0000FF"/>
          </w:rPr>
          <w:t>п. 2 ч. 1.1 ст. 4</w:t>
        </w:r>
      </w:hyperlink>
      <w:r>
        <w:t xml:space="preserve"> Закона о развитии предпринимательства), либо право на применение этого нал</w:t>
      </w:r>
      <w:r>
        <w:t>огового режима (</w:t>
      </w:r>
      <w:hyperlink r:id="rId69" w:history="1">
        <w:r>
          <w:rPr>
            <w:color w:val="0000FF"/>
          </w:rPr>
          <w:t>пп. 15 п. 3 ст. 346.12</w:t>
        </w:r>
      </w:hyperlink>
      <w:r>
        <w:t xml:space="preserve"> НК РФ); остаточная стоимость основных средств, определяемая в соответствии с законодательством о бухгалтерск</w:t>
      </w:r>
      <w:r>
        <w:t>ом учете, не должна превышать 150 млн рублей (</w:t>
      </w:r>
      <w:hyperlink r:id="rId70" w:history="1">
        <w:r>
          <w:rPr>
            <w:color w:val="0000FF"/>
          </w:rPr>
          <w:t>пп. 16 п. 3 ст. 346.12</w:t>
        </w:r>
      </w:hyperlink>
      <w:r>
        <w:t xml:space="preserve"> НК РФ), стоимость основных средств ССП, как правило, превышает указанные значен</w:t>
      </w:r>
      <w:r>
        <w:t>ия.</w:t>
      </w:r>
    </w:p>
    <w:p w:rsidR="00000000" w:rsidRDefault="00E876C5">
      <w:pPr>
        <w:pStyle w:val="ConsPlusNormal"/>
        <w:spacing w:before="240"/>
        <w:ind w:firstLine="540"/>
        <w:jc w:val="both"/>
      </w:pPr>
      <w:hyperlink r:id="rId71" w:history="1">
        <w:r>
          <w:rPr>
            <w:color w:val="0000FF"/>
          </w:rPr>
          <w:t>НК</w:t>
        </w:r>
      </w:hyperlink>
      <w:r>
        <w:t xml:space="preserve"> РФ также не содержит норм, ограничивающих ССП в применении системы налогообложения при выполнении соглашений о разделе продукции. Однако плательщиком указанного </w:t>
      </w:r>
      <w:r>
        <w:t>налога является только юридическое лицо, осуществляющее вложение средств в поиск, разведку и добычу минерального сырья и являющееся пользователем недр на условиях соглашения о разделе продукции (</w:t>
      </w:r>
      <w:hyperlink r:id="rId72" w:history="1">
        <w:r>
          <w:rPr>
            <w:color w:val="0000FF"/>
          </w:rPr>
          <w:t>ст. 346.34</w:t>
        </w:r>
      </w:hyperlink>
      <w:r>
        <w:t xml:space="preserve"> НК РФ). Как правило, такую деятельность ведут крупные компании. В связи с этим наличие этого налогового режима едва ли может рассматриваться как мера поддержки ССП.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lastRenderedPageBreak/>
        <w:t>Ввиду несоответствия требованиям, пр</w:t>
      </w:r>
      <w:r>
        <w:t>едъявляемым к налогоплательщикам, ССП не вправе переходить на следующие специальные налоговые режимы: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- патентная система налогообложения (</w:t>
      </w:r>
      <w:hyperlink r:id="rId73" w:history="1">
        <w:r>
          <w:rPr>
            <w:color w:val="0000FF"/>
          </w:rPr>
          <w:t>п. 5 ст. 346.</w:t>
        </w:r>
        <w:r>
          <w:rPr>
            <w:color w:val="0000FF"/>
          </w:rPr>
          <w:t>43</w:t>
        </w:r>
      </w:hyperlink>
      <w:r>
        <w:t xml:space="preserve"> НК РФ);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 xml:space="preserve">- система налогообложения в виде единого налога на вмененный доход для отдельных видов деятельности (отменена с 01.01.2021 на основании </w:t>
      </w:r>
      <w:hyperlink r:id="rId74" w:history="1">
        <w:r>
          <w:rPr>
            <w:color w:val="0000FF"/>
          </w:rPr>
          <w:t xml:space="preserve">п. 8 </w:t>
        </w:r>
        <w:r>
          <w:rPr>
            <w:color w:val="0000FF"/>
          </w:rPr>
          <w:t>ст. 5</w:t>
        </w:r>
      </w:hyperlink>
      <w:r>
        <w:t xml:space="preserve"> Федерального закона от 29.06.2012 N 97-ФЗ).</w:t>
      </w:r>
    </w:p>
    <w:p w:rsidR="00000000" w:rsidRDefault="00E876C5">
      <w:pPr>
        <w:pStyle w:val="ConsPlusNormal"/>
        <w:spacing w:before="240"/>
        <w:ind w:firstLine="540"/>
        <w:jc w:val="both"/>
      </w:pPr>
      <w:r>
        <w:t>Таким образом, законодательством предусмотрен широкий круг мер поддержки ССП. Вместе с тем необходимо учитывать, что состав участников, доля участия в уставном капитале ССП, а также показатели деятельнос</w:t>
      </w:r>
      <w:r>
        <w:t>ти ССП изменяются, что может повлечь утрату соответствующего статуса. Указанными выше преференциями лица вправе воспользоваться только при наличии у них статуса ССП на дату обращения с заявлением о реализации права (</w:t>
      </w:r>
      <w:hyperlink r:id="rId75" w:history="1">
        <w:r>
          <w:rPr>
            <w:color w:val="0000FF"/>
          </w:rPr>
          <w:t>Определение</w:t>
        </w:r>
      </w:hyperlink>
      <w:r>
        <w:t xml:space="preserve"> Верховного Суда РФ от 09.10.2020 N 305-ЭС20-14001 по делу N А40-247476/2018, </w:t>
      </w:r>
      <w:hyperlink r:id="rId76" w:history="1">
        <w:r>
          <w:rPr>
            <w:color w:val="0000FF"/>
          </w:rPr>
          <w:t>Определение</w:t>
        </w:r>
      </w:hyperlink>
      <w:r>
        <w:t xml:space="preserve"> Верховного Суда РФ от 05.03.2020 N 309-ЭС20-449 по делу N А71-24708/2018, </w:t>
      </w:r>
      <w:hyperlink r:id="rId77" w:history="1">
        <w:r>
          <w:rPr>
            <w:color w:val="0000FF"/>
          </w:rPr>
          <w:t>Определение</w:t>
        </w:r>
      </w:hyperlink>
      <w:r>
        <w:t xml:space="preserve"> Верховного Суда РФ от 29.12.2015 по делу N 307-ЭС15-10790, А56-40431/2014 (</w:t>
      </w:r>
      <w:hyperlink r:id="rId78" w:history="1">
        <w:r>
          <w:rPr>
            <w:color w:val="0000FF"/>
          </w:rPr>
          <w:t>Определением</w:t>
        </w:r>
      </w:hyperlink>
      <w:r>
        <w:t xml:space="preserve"> Верховного Суда РФ от 23.05.2016 N 145-ПЭК16 по делу N А56-40431/2014 отказано в передаче надзорной жалобы для рассмотрения в судебном заседании Президиума Верхо</w:t>
      </w:r>
      <w:r>
        <w:t xml:space="preserve">вного Суда Российской Федерации),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ФАС Восточно-Сибирского округа от 23.11.2010 по делу N А33-1609/2010). Следовательно, при использовании преференций целес</w:t>
      </w:r>
      <w:r>
        <w:t>ообразно проверять факт принадлежности лица к числу ССП (актуальность статуса ССП).</w:t>
      </w:r>
    </w:p>
    <w:p w:rsidR="00000000" w:rsidRDefault="00E876C5">
      <w:pPr>
        <w:pStyle w:val="ConsPlusNormal"/>
        <w:jc w:val="both"/>
      </w:pPr>
    </w:p>
    <w:p w:rsidR="00000000" w:rsidRDefault="00E876C5">
      <w:pPr>
        <w:pStyle w:val="ConsPlusNormal"/>
        <w:jc w:val="right"/>
      </w:pPr>
      <w:r>
        <w:t>Подготовлено на основе материала</w:t>
      </w:r>
    </w:p>
    <w:p w:rsidR="00000000" w:rsidRDefault="00E876C5">
      <w:pPr>
        <w:pStyle w:val="ConsPlusNormal"/>
        <w:jc w:val="right"/>
      </w:pPr>
      <w:r>
        <w:t>В.Э. Поляковой,</w:t>
      </w:r>
    </w:p>
    <w:p w:rsidR="00000000" w:rsidRDefault="00E876C5">
      <w:pPr>
        <w:pStyle w:val="ConsPlusNormal"/>
        <w:jc w:val="right"/>
      </w:pPr>
      <w:r>
        <w:t>кандидата юридических наук,</w:t>
      </w:r>
    </w:p>
    <w:p w:rsidR="00000000" w:rsidRDefault="00E876C5">
      <w:pPr>
        <w:pStyle w:val="ConsPlusNormal"/>
        <w:jc w:val="right"/>
      </w:pPr>
      <w:r>
        <w:t>руководителя практики ООО "ФБК Право"</w:t>
      </w:r>
    </w:p>
    <w:p w:rsidR="00000000" w:rsidRDefault="00E876C5">
      <w:pPr>
        <w:pStyle w:val="ConsPlusNormal"/>
        <w:jc w:val="both"/>
      </w:pPr>
    </w:p>
    <w:p w:rsidR="00000000" w:rsidRDefault="00E876C5">
      <w:pPr>
        <w:pStyle w:val="ConsPlusNormal"/>
        <w:jc w:val="both"/>
      </w:pPr>
    </w:p>
    <w:p w:rsidR="00E876C5" w:rsidRDefault="00E87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876C5">
      <w:headerReference w:type="default" r:id="rId80"/>
      <w:footerReference w:type="default" r:id="rId8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C5" w:rsidRDefault="00E876C5">
      <w:pPr>
        <w:spacing w:after="0" w:line="240" w:lineRule="auto"/>
      </w:pPr>
      <w:r>
        <w:separator/>
      </w:r>
    </w:p>
  </w:endnote>
  <w:endnote w:type="continuationSeparator" w:id="0">
    <w:p w:rsidR="00E876C5" w:rsidRDefault="00E8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876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76C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76C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76C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E532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532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E532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532D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876C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C5" w:rsidRDefault="00E876C5">
      <w:pPr>
        <w:spacing w:after="0" w:line="240" w:lineRule="auto"/>
      </w:pPr>
      <w:r>
        <w:separator/>
      </w:r>
    </w:p>
  </w:footnote>
  <w:footnote w:type="continuationSeparator" w:id="0">
    <w:p w:rsidR="00E876C5" w:rsidRDefault="00E8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76C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Статья: Среднее предпринимательство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Кон</w:t>
          </w:r>
          <w:r>
            <w:rPr>
              <w:rFonts w:ascii="Tahoma" w:hAnsi="Tahoma" w:cs="Tahoma"/>
              <w:sz w:val="16"/>
              <w:szCs w:val="16"/>
            </w:rPr>
            <w:t>сультантПлюс, 2023)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76C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12.05.2023</w:t>
          </w:r>
        </w:p>
      </w:tc>
    </w:tr>
  </w:tbl>
  <w:p w:rsidR="00000000" w:rsidRDefault="00E876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876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2D"/>
    <w:rsid w:val="002E532D"/>
    <w:rsid w:val="00E8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8000BC-A394-47FD-8390-E0DB8C6D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&amp;base=LAW&amp;n=436375&amp;date=12.05.2023&amp;dst=30&amp;field=134" TargetMode="External"/><Relationship Id="rId18" Type="http://schemas.openxmlformats.org/officeDocument/2006/relationships/hyperlink" Target="http://login.consultant.ru/link/?req=doc&amp;base=LAW&amp;n=436375&amp;date=12.05.2023&amp;dst=100325&amp;field=134" TargetMode="External"/><Relationship Id="rId26" Type="http://schemas.openxmlformats.org/officeDocument/2006/relationships/hyperlink" Target="http://login.consultant.ru/link/?req=doc&amp;base=LAW&amp;n=436375&amp;date=12.05.2023&amp;dst=127&amp;field=134" TargetMode="External"/><Relationship Id="rId39" Type="http://schemas.openxmlformats.org/officeDocument/2006/relationships/hyperlink" Target="http://login.consultant.ru/link/?req=doc&amp;base=LAW&amp;n=436375&amp;date=12.05.2023&amp;dst=100035&amp;field=134" TargetMode="External"/><Relationship Id="rId21" Type="http://schemas.openxmlformats.org/officeDocument/2006/relationships/hyperlink" Target="http://login.consultant.ru/link/?req=doc&amp;base=LAW&amp;n=435963&amp;date=12.05.2023" TargetMode="External"/><Relationship Id="rId34" Type="http://schemas.openxmlformats.org/officeDocument/2006/relationships/hyperlink" Target="http://login.consultant.ru/link/?req=doc&amp;base=LAW&amp;n=421052&amp;date=12.05.2023&amp;dst=20&amp;field=134" TargetMode="External"/><Relationship Id="rId42" Type="http://schemas.openxmlformats.org/officeDocument/2006/relationships/hyperlink" Target="http://login.consultant.ru/link/?req=doc&amp;base=LAW&amp;n=390412&amp;date=12.05.2023&amp;dst=100016&amp;field=134" TargetMode="External"/><Relationship Id="rId47" Type="http://schemas.openxmlformats.org/officeDocument/2006/relationships/hyperlink" Target="http://login.consultant.ru/link/?req=doc&amp;base=LAW&amp;n=436375&amp;date=12.05.2023&amp;dst=100059&amp;field=134" TargetMode="External"/><Relationship Id="rId50" Type="http://schemas.openxmlformats.org/officeDocument/2006/relationships/hyperlink" Target="http://login.consultant.ru/link/?req=doc&amp;base=LAW&amp;n=436375&amp;date=12.05.2023&amp;dst=70&amp;field=134" TargetMode="External"/><Relationship Id="rId55" Type="http://schemas.openxmlformats.org/officeDocument/2006/relationships/hyperlink" Target="http://login.consultant.ru/link/?req=doc&amp;base=LAW&amp;n=402282&amp;date=12.05.2023&amp;dst=103395&amp;field=134" TargetMode="External"/><Relationship Id="rId63" Type="http://schemas.openxmlformats.org/officeDocument/2006/relationships/hyperlink" Target="http://login.consultant.ru/link/?req=doc&amp;base=LAW&amp;n=427318&amp;date=12.05.2023" TargetMode="External"/><Relationship Id="rId68" Type="http://schemas.openxmlformats.org/officeDocument/2006/relationships/hyperlink" Target="http://login.consultant.ru/link/?req=doc&amp;base=LAW&amp;n=436375&amp;date=12.05.2023&amp;dst=63&amp;field=134" TargetMode="External"/><Relationship Id="rId76" Type="http://schemas.openxmlformats.org/officeDocument/2006/relationships/hyperlink" Target="http://login.consultant.ru/link/?req=doc&amp;base=ARB&amp;n=620733&amp;date=12.05.2023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://login.consultant.ru/link/?req=doc&amp;base=LAW&amp;n=436907&amp;date=12.05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LAW&amp;n=436375&amp;date=12.05.2023&amp;dst=125&amp;field=134" TargetMode="External"/><Relationship Id="rId29" Type="http://schemas.openxmlformats.org/officeDocument/2006/relationships/hyperlink" Target="http://login.consultant.ru/link/?req=doc&amp;base=LAW&amp;n=436375&amp;date=12.05.2023&amp;dst=100230&amp;field=134" TargetMode="External"/><Relationship Id="rId11" Type="http://schemas.openxmlformats.org/officeDocument/2006/relationships/hyperlink" Target="http://login.consultant.ru/link/?req=doc&amp;base=LAW&amp;n=436375&amp;date=12.05.2023&amp;dst=61&amp;field=134" TargetMode="External"/><Relationship Id="rId24" Type="http://schemas.openxmlformats.org/officeDocument/2006/relationships/hyperlink" Target="http://login.consultant.ru/link/?req=doc&amp;base=LAW&amp;n=436375&amp;date=12.05.2023&amp;dst=340&amp;field=134" TargetMode="External"/><Relationship Id="rId32" Type="http://schemas.openxmlformats.org/officeDocument/2006/relationships/hyperlink" Target="http://login.consultant.ru/link/?req=doc&amp;base=LAW&amp;n=421052&amp;date=12.05.2023&amp;dst=100046&amp;field=134" TargetMode="External"/><Relationship Id="rId37" Type="http://schemas.openxmlformats.org/officeDocument/2006/relationships/hyperlink" Target="http://login.consultant.ru/link/?req=doc&amp;base=LAW&amp;n=436375&amp;date=12.05.2023&amp;dst=100058&amp;field=134" TargetMode="External"/><Relationship Id="rId40" Type="http://schemas.openxmlformats.org/officeDocument/2006/relationships/hyperlink" Target="http://login.consultant.ru/link/?req=doc&amp;base=LAW&amp;n=361162&amp;date=12.05.2023&amp;dst=100030&amp;field=134" TargetMode="External"/><Relationship Id="rId45" Type="http://schemas.openxmlformats.org/officeDocument/2006/relationships/hyperlink" Target="http://login.consultant.ru/link/?req=doc&amp;base=LAW&amp;n=390412&amp;date=12.05.2023&amp;dst=100026&amp;field=134" TargetMode="External"/><Relationship Id="rId53" Type="http://schemas.openxmlformats.org/officeDocument/2006/relationships/hyperlink" Target="http://login.consultant.ru/link/?req=doc&amp;base=LAW&amp;n=436375&amp;date=12.05.2023&amp;dst=71&amp;field=134" TargetMode="External"/><Relationship Id="rId58" Type="http://schemas.openxmlformats.org/officeDocument/2006/relationships/hyperlink" Target="http://login.consultant.ru/link/?req=doc&amp;base=LAW&amp;n=436375&amp;date=12.05.2023&amp;dst=100063&amp;field=134" TargetMode="External"/><Relationship Id="rId66" Type="http://schemas.openxmlformats.org/officeDocument/2006/relationships/hyperlink" Target="http://login.consultant.ru/link/?req=doc&amp;base=LAW&amp;n=442371&amp;date=12.05.2023" TargetMode="External"/><Relationship Id="rId74" Type="http://schemas.openxmlformats.org/officeDocument/2006/relationships/hyperlink" Target="http://login.consultant.ru/link/?req=doc&amp;base=LAW&amp;n=201384&amp;date=12.05.2023&amp;dst=4&amp;field=134" TargetMode="External"/><Relationship Id="rId79" Type="http://schemas.openxmlformats.org/officeDocument/2006/relationships/hyperlink" Target="http://login.consultant.ru/link/?req=doc&amp;base=AVS&amp;n=63305&amp;date=12.05.2023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login.consultant.ru/link/?req=doc&amp;base=LAW&amp;n=436375&amp;date=12.05.2023&amp;dst=100162&amp;field=134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login.consultant.ru/link/?req=doc&amp;base=LAW&amp;n=436375&amp;date=12.05.2023&amp;dst=100014&amp;field=134" TargetMode="External"/><Relationship Id="rId19" Type="http://schemas.openxmlformats.org/officeDocument/2006/relationships/hyperlink" Target="http://login.consultant.ru/link/?req=doc&amp;base=LAW&amp;n=436375&amp;date=12.05.2023&amp;dst=100328&amp;field=134" TargetMode="External"/><Relationship Id="rId31" Type="http://schemas.openxmlformats.org/officeDocument/2006/relationships/hyperlink" Target="http://login.consultant.ru/link/?req=doc&amp;base=LAW&amp;n=421052&amp;date=12.05.2023&amp;dst=30&amp;field=134" TargetMode="External"/><Relationship Id="rId44" Type="http://schemas.openxmlformats.org/officeDocument/2006/relationships/hyperlink" Target="http://login.consultant.ru/link/?req=doc&amp;base=LAW&amp;n=390412&amp;date=12.05.2023&amp;dst=100021&amp;field=134" TargetMode="External"/><Relationship Id="rId52" Type="http://schemas.openxmlformats.org/officeDocument/2006/relationships/hyperlink" Target="http://login.consultant.ru/link/?req=doc&amp;base=LAW&amp;n=430986&amp;date=12.05.2023&amp;dst=100018&amp;field=134" TargetMode="External"/><Relationship Id="rId60" Type="http://schemas.openxmlformats.org/officeDocument/2006/relationships/hyperlink" Target="http://login.consultant.ru/link/?req=doc&amp;base=LAW&amp;n=436375&amp;date=12.05.2023&amp;dst=86&amp;field=134" TargetMode="External"/><Relationship Id="rId65" Type="http://schemas.openxmlformats.org/officeDocument/2006/relationships/hyperlink" Target="http://login.consultant.ru/link/?req=doc&amp;base=LAW&amp;n=436375&amp;date=12.05.2023" TargetMode="External"/><Relationship Id="rId73" Type="http://schemas.openxmlformats.org/officeDocument/2006/relationships/hyperlink" Target="http://login.consultant.ru/link/?req=doc&amp;base=LAW&amp;n=436907&amp;date=12.05.2023&amp;dst=7765&amp;field=134" TargetMode="External"/><Relationship Id="rId78" Type="http://schemas.openxmlformats.org/officeDocument/2006/relationships/hyperlink" Target="http://login.consultant.ru/link/?req=doc&amp;base=ARB&amp;n=462349&amp;date=12.05.2023" TargetMode="External"/><Relationship Id="rId8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LAW&amp;n=436375&amp;date=12.05.2023&amp;dst=100040&amp;field=134" TargetMode="External"/><Relationship Id="rId14" Type="http://schemas.openxmlformats.org/officeDocument/2006/relationships/hyperlink" Target="http://login.consultant.ru/link/?req=doc&amp;base=LAW&amp;n=436375&amp;date=12.05.2023&amp;dst=62&amp;field=134" TargetMode="External"/><Relationship Id="rId22" Type="http://schemas.openxmlformats.org/officeDocument/2006/relationships/hyperlink" Target="http://login.consultant.ru/link/?req=doc&amp;base=LAW&amp;n=439163&amp;date=12.05.2023" TargetMode="External"/><Relationship Id="rId27" Type="http://schemas.openxmlformats.org/officeDocument/2006/relationships/hyperlink" Target="http://login.consultant.ru/link/?req=doc&amp;base=LAW&amp;n=436375&amp;date=12.05.2023&amp;dst=129&amp;field=134" TargetMode="External"/><Relationship Id="rId30" Type="http://schemas.openxmlformats.org/officeDocument/2006/relationships/hyperlink" Target="http://login.consultant.ru/link/?req=doc&amp;base=LAW&amp;n=421052&amp;date=12.05.2023&amp;dst=100053&amp;field=134" TargetMode="External"/><Relationship Id="rId35" Type="http://schemas.openxmlformats.org/officeDocument/2006/relationships/hyperlink" Target="http://login.consultant.ru/link/?req=doc&amp;base=LAW&amp;n=435963&amp;date=12.05.2023" TargetMode="External"/><Relationship Id="rId43" Type="http://schemas.openxmlformats.org/officeDocument/2006/relationships/hyperlink" Target="http://login.consultant.ru/link/?req=doc&amp;base=LAW&amp;n=390412&amp;date=12.05.2023&amp;dst=100016&amp;field=134" TargetMode="External"/><Relationship Id="rId48" Type="http://schemas.openxmlformats.org/officeDocument/2006/relationships/hyperlink" Target="http://login.consultant.ru/link/?req=doc&amp;base=LAW&amp;n=436361&amp;date=12.05.2023&amp;dst=100020&amp;field=134" TargetMode="External"/><Relationship Id="rId56" Type="http://schemas.openxmlformats.org/officeDocument/2006/relationships/hyperlink" Target="http://login.consultant.ru/link/?req=doc&amp;base=LAW&amp;n=402282&amp;date=12.05.2023&amp;dst=103142&amp;field=134" TargetMode="External"/><Relationship Id="rId64" Type="http://schemas.openxmlformats.org/officeDocument/2006/relationships/hyperlink" Target="http://login.consultant.ru/link/?req=doc&amp;base=LAW&amp;n=436375&amp;date=12.05.2023&amp;dst=100056&amp;field=134" TargetMode="External"/><Relationship Id="rId69" Type="http://schemas.openxmlformats.org/officeDocument/2006/relationships/hyperlink" Target="http://login.consultant.ru/link/?req=doc&amp;base=LAW&amp;n=436907&amp;date=12.05.2023&amp;dst=104516&amp;field=134" TargetMode="External"/><Relationship Id="rId77" Type="http://schemas.openxmlformats.org/officeDocument/2006/relationships/hyperlink" Target="http://login.consultant.ru/link/?req=doc&amp;base=ARB&amp;n=448196&amp;date=12.05.2023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://login.consultant.ru/link/?req=doc&amp;base=LAW&amp;n=430986&amp;date=12.05.2023&amp;dst=100022&amp;field=134" TargetMode="External"/><Relationship Id="rId72" Type="http://schemas.openxmlformats.org/officeDocument/2006/relationships/hyperlink" Target="http://login.consultant.ru/link/?req=doc&amp;base=LAW&amp;n=436907&amp;date=12.05.2023&amp;dst=13&amp;field=134" TargetMode="External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://login.consultant.ru/link/?req=doc&amp;base=LAW&amp;n=436375&amp;date=12.05.2023&amp;dst=29&amp;field=134" TargetMode="External"/><Relationship Id="rId17" Type="http://schemas.openxmlformats.org/officeDocument/2006/relationships/hyperlink" Target="http://login.consultant.ru/link/?req=doc&amp;base=LAW&amp;n=436907&amp;date=12.05.2023&amp;dst=5684&amp;field=134" TargetMode="External"/><Relationship Id="rId25" Type="http://schemas.openxmlformats.org/officeDocument/2006/relationships/hyperlink" Target="http://login.consultant.ru/link/?req=doc&amp;base=LAW&amp;n=196415&amp;date=12.05.2023&amp;dst=100005&amp;field=134" TargetMode="External"/><Relationship Id="rId33" Type="http://schemas.openxmlformats.org/officeDocument/2006/relationships/hyperlink" Target="http://login.consultant.ru/link/?req=doc&amp;base=LAW&amp;n=421052&amp;date=12.05.2023&amp;dst=16&amp;field=134" TargetMode="External"/><Relationship Id="rId38" Type="http://schemas.openxmlformats.org/officeDocument/2006/relationships/hyperlink" Target="http://login.consultant.ru/link/?req=doc&amp;base=LAW&amp;n=436375&amp;date=12.05.2023&amp;dst=100341&amp;field=134" TargetMode="External"/><Relationship Id="rId46" Type="http://schemas.openxmlformats.org/officeDocument/2006/relationships/hyperlink" Target="http://login.consultant.ru/link/?req=doc&amp;base=LAW&amp;n=342886&amp;date=12.05.2023&amp;dst=100135&amp;field=134" TargetMode="External"/><Relationship Id="rId59" Type="http://schemas.openxmlformats.org/officeDocument/2006/relationships/hyperlink" Target="http://login.consultant.ru/link/?req=doc&amp;base=LAW&amp;n=436375&amp;date=12.05.2023&amp;dst=75&amp;field=134" TargetMode="External"/><Relationship Id="rId67" Type="http://schemas.openxmlformats.org/officeDocument/2006/relationships/hyperlink" Target="http://login.consultant.ru/link/?req=doc&amp;base=LAW&amp;n=436907&amp;date=12.05.2023&amp;dst=3157&amp;field=134" TargetMode="External"/><Relationship Id="rId20" Type="http://schemas.openxmlformats.org/officeDocument/2006/relationships/hyperlink" Target="http://login.consultant.ru/link/?req=doc&amp;base=LAW&amp;n=436375&amp;date=12.05.2023&amp;dst=186&amp;field=134" TargetMode="External"/><Relationship Id="rId41" Type="http://schemas.openxmlformats.org/officeDocument/2006/relationships/hyperlink" Target="http://login.consultant.ru/link/?req=doc&amp;base=LAW&amp;n=436375&amp;date=12.05.2023&amp;dst=100036&amp;field=134" TargetMode="External"/><Relationship Id="rId54" Type="http://schemas.openxmlformats.org/officeDocument/2006/relationships/hyperlink" Target="http://login.consultant.ru/link/?req=doc&amp;base=LAW&amp;n=436375&amp;date=12.05.2023&amp;dst=100159&amp;field=134" TargetMode="External"/><Relationship Id="rId62" Type="http://schemas.openxmlformats.org/officeDocument/2006/relationships/hyperlink" Target="http://login.consultant.ru/link/?req=doc&amp;base=LAW&amp;n=436375&amp;date=12.05.2023&amp;dst=100162&amp;field=134" TargetMode="External"/><Relationship Id="rId70" Type="http://schemas.openxmlformats.org/officeDocument/2006/relationships/hyperlink" Target="http://login.consultant.ru/link/?req=doc&amp;base=LAW&amp;n=436907&amp;date=12.05.2023&amp;dst=13354&amp;field=134" TargetMode="External"/><Relationship Id="rId75" Type="http://schemas.openxmlformats.org/officeDocument/2006/relationships/hyperlink" Target="http://login.consultant.ru/link/?req=doc&amp;base=ARB&amp;n=642195&amp;date=12.05.2023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login.consultant.ru/link/?req=doc&amp;base=LAW&amp;n=436375&amp;date=12.05.2023&amp;dst=155&amp;field=134" TargetMode="External"/><Relationship Id="rId23" Type="http://schemas.openxmlformats.org/officeDocument/2006/relationships/hyperlink" Target="http://login.consultant.ru/link/?req=doc&amp;base=LAW&amp;n=436375&amp;date=12.05.2023&amp;dst=126&amp;field=134" TargetMode="External"/><Relationship Id="rId28" Type="http://schemas.openxmlformats.org/officeDocument/2006/relationships/hyperlink" Target="http://login.consultant.ru/link/?req=doc&amp;base=LAW&amp;n=222491&amp;date=12.05.2023" TargetMode="External"/><Relationship Id="rId36" Type="http://schemas.openxmlformats.org/officeDocument/2006/relationships/hyperlink" Target="http://login.consultant.ru/link/?req=doc&amp;base=LAW&amp;n=421052&amp;date=12.05.2023&amp;dst=100321&amp;field=134" TargetMode="External"/><Relationship Id="rId49" Type="http://schemas.openxmlformats.org/officeDocument/2006/relationships/hyperlink" Target="http://login.consultant.ru/link/?req=doc&amp;base=LAW&amp;n=436361&amp;date=12.05.2023&amp;dst=100114&amp;field=134" TargetMode="External"/><Relationship Id="rId57" Type="http://schemas.openxmlformats.org/officeDocument/2006/relationships/hyperlink" Target="http://login.consultant.ru/link/?req=doc&amp;base=LAW&amp;n=402282&amp;date=12.05.2023&amp;dst=1863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4154</Words>
  <Characters>23681</Characters>
  <Application>Microsoft Office Word</Application>
  <DocSecurity>2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Статья: Среднее предпринимательство(Подготовлен для системы КонсультантПлюс, 2023)</vt:lpstr>
    </vt:vector>
  </TitlesOfParts>
  <Company>КонсультантПлюс Версия 4022.00.55</Company>
  <LinksUpToDate>false</LinksUpToDate>
  <CharactersWithSpaces>27780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Статья: Среднее предпринимательство(Подготовлен для системы КонсультантПлюс, 2023)</dc:title>
  <dc:subject/>
  <dc:creator>1</dc:creator>
  <cp:keywords/>
  <dc:description/>
  <cp:lastModifiedBy>1</cp:lastModifiedBy>
  <cp:revision>2</cp:revision>
  <dcterms:created xsi:type="dcterms:W3CDTF">2023-05-12T10:27:00Z</dcterms:created>
  <dcterms:modified xsi:type="dcterms:W3CDTF">2023-05-12T10:27:00Z</dcterms:modified>
</cp:coreProperties>
</file>